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8A0D7" w14:textId="3410FB22" w:rsidR="00C35E53" w:rsidRPr="00B72098" w:rsidRDefault="00C35E53" w:rsidP="00B72098">
      <w:pPr>
        <w:snapToGrid w:val="0"/>
        <w:spacing w:afterLines="50" w:after="180" w:line="480" w:lineRule="exact"/>
        <w:ind w:leftChars="-59" w:left="-142" w:rightChars="-100" w:right="-240"/>
        <w:jc w:val="both"/>
        <w:rPr>
          <w:rFonts w:ascii="標楷體" w:eastAsia="標楷體" w:hAnsi="標楷體" w:cs="Times New Roman"/>
          <w:bCs/>
          <w:color w:val="000000" w:themeColor="text1"/>
          <w:sz w:val="36"/>
          <w:szCs w:val="36"/>
          <w:lang w:eastAsia="zh-HK"/>
        </w:rPr>
      </w:pPr>
      <w:r w:rsidRPr="00B72098">
        <w:rPr>
          <w:rFonts w:ascii="標楷體" w:eastAsia="標楷體" w:hAnsi="標楷體" w:cs="Times New Roman"/>
          <w:bCs/>
          <w:noProof/>
          <w:color w:val="000000" w:themeColor="text1"/>
          <w:sz w:val="36"/>
          <w:szCs w:val="36"/>
          <w:lang w:eastAsia="zh-HK"/>
        </w:rPr>
        <mc:AlternateContent>
          <mc:Choice Requires="wps">
            <w:drawing>
              <wp:anchor distT="45720" distB="45720" distL="114300" distR="114300" simplePos="0" relativeHeight="251659264" behindDoc="0" locked="0" layoutInCell="1" allowOverlap="1" wp14:anchorId="738315B4" wp14:editId="707DF39B">
                <wp:simplePos x="0" y="0"/>
                <wp:positionH relativeFrom="column">
                  <wp:posOffset>-142875</wp:posOffset>
                </wp:positionH>
                <wp:positionV relativeFrom="page">
                  <wp:posOffset>552450</wp:posOffset>
                </wp:positionV>
                <wp:extent cx="704850" cy="342900"/>
                <wp:effectExtent l="0" t="0" r="19050" b="1905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42900"/>
                        </a:xfrm>
                        <a:prstGeom prst="rect">
                          <a:avLst/>
                        </a:prstGeom>
                        <a:solidFill>
                          <a:srgbClr val="FFFFFF"/>
                        </a:solidFill>
                        <a:ln w="9525">
                          <a:solidFill>
                            <a:srgbClr val="000000"/>
                          </a:solidFill>
                          <a:miter lim="800000"/>
                          <a:headEnd/>
                          <a:tailEnd/>
                        </a:ln>
                      </wps:spPr>
                      <wps:txbx>
                        <w:txbxContent>
                          <w:p w14:paraId="3C3704E7" w14:textId="3E6713E2" w:rsidR="00C35E53" w:rsidRPr="00DC48D4" w:rsidRDefault="00C35E53" w:rsidP="00C35E53">
                            <w:pPr>
                              <w:spacing w:line="340" w:lineRule="exact"/>
                              <w:jc w:val="center"/>
                              <w:rPr>
                                <w:rFonts w:ascii="Times New Roman" w:eastAsia="標楷體" w:hAnsi="Times New Roman" w:cs="Times New Roman"/>
                                <w:sz w:val="28"/>
                                <w:szCs w:val="28"/>
                              </w:rPr>
                            </w:pPr>
                            <w:r w:rsidRPr="00DC48D4">
                              <w:rPr>
                                <w:rFonts w:ascii="Times New Roman" w:eastAsia="標楷體" w:hAnsi="Times New Roman" w:cs="Times New Roman"/>
                                <w:sz w:val="28"/>
                                <w:szCs w:val="28"/>
                              </w:rPr>
                              <w:t>附件</w:t>
                            </w:r>
                            <w:r w:rsidR="00E56CE7">
                              <w:rPr>
                                <w:rFonts w:ascii="Times New Roman" w:eastAsia="標楷體" w:hAnsi="Times New Roman" w:cs="Times New Roman"/>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315B4" id="_x0000_t202" coordsize="21600,21600" o:spt="202" path="m,l,21600r21600,l21600,xe">
                <v:stroke joinstyle="miter"/>
                <v:path gradientshapeok="t" o:connecttype="rect"/>
              </v:shapetype>
              <v:shape id="文字方塊 2" o:spid="_x0000_s1026" type="#_x0000_t202" style="position:absolute;left:0;text-align:left;margin-left:-11.25pt;margin-top:43.5pt;width:55.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">
                <v:textbox>
                  <w:txbxContent>
                    <w:p w14:paraId="3C3704E7" w14:textId="3E6713E2" w:rsidR="00C35E53" w:rsidRPr="00DC48D4" w:rsidRDefault="00C35E53" w:rsidP="00C35E53">
                      <w:pPr>
                        <w:spacing w:line="340" w:lineRule="exact"/>
                        <w:jc w:val="center"/>
                        <w:rPr>
                          <w:rFonts w:ascii="Times New Roman" w:eastAsia="標楷體" w:hAnsi="Times New Roman" w:cs="Times New Roman"/>
                          <w:sz w:val="28"/>
                          <w:szCs w:val="28"/>
                        </w:rPr>
                      </w:pPr>
                      <w:r w:rsidRPr="00DC48D4">
                        <w:rPr>
                          <w:rFonts w:ascii="Times New Roman" w:eastAsia="標楷體" w:hAnsi="Times New Roman" w:cs="Times New Roman"/>
                          <w:sz w:val="28"/>
                          <w:szCs w:val="28"/>
                        </w:rPr>
                        <w:t>附件</w:t>
                      </w:r>
                      <w:r w:rsidR="00E56CE7">
                        <w:rPr>
                          <w:rFonts w:ascii="Times New Roman" w:eastAsia="標楷體" w:hAnsi="Times New Roman" w:cs="Times New Roman"/>
                          <w:sz w:val="28"/>
                          <w:szCs w:val="28"/>
                        </w:rPr>
                        <w:t>3</w:t>
                      </w:r>
                    </w:p>
                  </w:txbxContent>
                </v:textbox>
                <w10:wrap type="topAndBottom" anchory="page"/>
              </v:shape>
            </w:pict>
          </mc:Fallback>
        </mc:AlternateContent>
      </w:r>
      <w:r w:rsidR="00D34A6B" w:rsidRPr="00B72098">
        <w:rPr>
          <w:rFonts w:ascii="標楷體" w:eastAsia="標楷體" w:hint="eastAsia"/>
          <w:bCs/>
          <w:color w:val="000000"/>
          <w:spacing w:val="-4"/>
          <w:sz w:val="36"/>
          <w:szCs w:val="36"/>
        </w:rPr>
        <w:t>中華民國證券商業同業公會「承銷商會員輔導發行公司募集與發行有價證券自律規則」第</w:t>
      </w:r>
      <w:r w:rsidR="000B66F6" w:rsidRPr="00B72098">
        <w:rPr>
          <w:rFonts w:ascii="標楷體" w:eastAsia="標楷體" w:hint="eastAsia"/>
          <w:bCs/>
          <w:color w:val="000000"/>
          <w:spacing w:val="-4"/>
          <w:sz w:val="36"/>
          <w:szCs w:val="36"/>
        </w:rPr>
        <w:t>四條之</w:t>
      </w:r>
      <w:r w:rsidR="00D34A6B" w:rsidRPr="00B72098">
        <w:rPr>
          <w:rFonts w:ascii="標楷體" w:eastAsia="標楷體" w:hint="eastAsia"/>
          <w:bCs/>
          <w:color w:val="000000"/>
          <w:spacing w:val="-4"/>
          <w:sz w:val="36"/>
          <w:szCs w:val="36"/>
        </w:rPr>
        <w:t>十五修正條文對照表</w:t>
      </w:r>
    </w:p>
    <w:tbl>
      <w:tblPr>
        <w:tblStyle w:val="a3"/>
        <w:tblW w:w="8719" w:type="dxa"/>
        <w:jc w:val="center"/>
        <w:tblLook w:val="04A0" w:firstRow="1" w:lastRow="0" w:firstColumn="1" w:lastColumn="0" w:noHBand="0" w:noVBand="1"/>
      </w:tblPr>
      <w:tblGrid>
        <w:gridCol w:w="2906"/>
        <w:gridCol w:w="2906"/>
        <w:gridCol w:w="2907"/>
      </w:tblGrid>
      <w:tr w:rsidR="00C35E53" w:rsidRPr="00753FE1" w14:paraId="16B2AC87" w14:textId="77777777" w:rsidTr="00FE1552">
        <w:trPr>
          <w:trHeight w:val="283"/>
          <w:jc w:val="center"/>
        </w:trPr>
        <w:tc>
          <w:tcPr>
            <w:tcW w:w="2906" w:type="dxa"/>
            <w:vAlign w:val="center"/>
          </w:tcPr>
          <w:p w14:paraId="5155C516" w14:textId="77777777" w:rsidR="00C35E53" w:rsidRPr="00764532" w:rsidRDefault="00C35E53" w:rsidP="00107B3D">
            <w:pPr>
              <w:snapToGrid w:val="0"/>
              <w:jc w:val="center"/>
              <w:rPr>
                <w:rFonts w:ascii="標楷體" w:eastAsia="標楷體" w:hAnsi="標楷體"/>
                <w:szCs w:val="24"/>
              </w:rPr>
            </w:pPr>
            <w:r w:rsidRPr="00764532">
              <w:rPr>
                <w:rFonts w:ascii="標楷體" w:eastAsia="標楷體" w:hAnsi="標楷體" w:hint="eastAsia"/>
                <w:szCs w:val="24"/>
              </w:rPr>
              <w:t>修正條文</w:t>
            </w:r>
          </w:p>
        </w:tc>
        <w:tc>
          <w:tcPr>
            <w:tcW w:w="2906" w:type="dxa"/>
            <w:vAlign w:val="center"/>
          </w:tcPr>
          <w:p w14:paraId="6276C391" w14:textId="77777777" w:rsidR="00C35E53" w:rsidRPr="00764532" w:rsidRDefault="00C35E53" w:rsidP="00107B3D">
            <w:pPr>
              <w:snapToGrid w:val="0"/>
              <w:jc w:val="center"/>
              <w:rPr>
                <w:rFonts w:ascii="標楷體" w:eastAsia="標楷體" w:hAnsi="標楷體"/>
                <w:szCs w:val="24"/>
              </w:rPr>
            </w:pPr>
            <w:r w:rsidRPr="00764532">
              <w:rPr>
                <w:rFonts w:ascii="標楷體" w:eastAsia="標楷體" w:hAnsi="標楷體" w:hint="eastAsia"/>
                <w:szCs w:val="24"/>
              </w:rPr>
              <w:t>現行條文</w:t>
            </w:r>
          </w:p>
        </w:tc>
        <w:tc>
          <w:tcPr>
            <w:tcW w:w="2907" w:type="dxa"/>
            <w:vAlign w:val="center"/>
          </w:tcPr>
          <w:p w14:paraId="01398512" w14:textId="77777777" w:rsidR="00C35E53" w:rsidRPr="00764532" w:rsidRDefault="00C35E53" w:rsidP="00107B3D">
            <w:pPr>
              <w:snapToGrid w:val="0"/>
              <w:jc w:val="center"/>
              <w:rPr>
                <w:rFonts w:ascii="標楷體" w:eastAsia="標楷體" w:hAnsi="標楷體"/>
                <w:szCs w:val="24"/>
              </w:rPr>
            </w:pPr>
            <w:r w:rsidRPr="00764532">
              <w:rPr>
                <w:rFonts w:ascii="標楷體" w:eastAsia="標楷體" w:hAnsi="標楷體" w:hint="eastAsia"/>
                <w:szCs w:val="24"/>
              </w:rPr>
              <w:t>說明</w:t>
            </w:r>
          </w:p>
        </w:tc>
      </w:tr>
      <w:tr w:rsidR="0008325D" w:rsidRPr="0008325D" w14:paraId="523A5189" w14:textId="77777777" w:rsidTr="00FE1552">
        <w:trPr>
          <w:trHeight w:val="176"/>
          <w:jc w:val="center"/>
        </w:trPr>
        <w:tc>
          <w:tcPr>
            <w:tcW w:w="2906" w:type="dxa"/>
            <w:vAlign w:val="center"/>
          </w:tcPr>
          <w:p w14:paraId="25C7E2B7" w14:textId="660750A9" w:rsidR="000B66F6" w:rsidRPr="0008325D" w:rsidRDefault="000B66F6" w:rsidP="00FE1552">
            <w:pPr>
              <w:spacing w:line="360" w:lineRule="exact"/>
              <w:ind w:left="245" w:hangingChars="102" w:hanging="245"/>
              <w:jc w:val="both"/>
              <w:rPr>
                <w:rFonts w:ascii="標楷體" w:eastAsia="標楷體" w:hAnsi="標楷體" w:cs="Times New Roman"/>
                <w:color w:val="000000" w:themeColor="text1"/>
                <w:szCs w:val="24"/>
              </w:rPr>
            </w:pPr>
            <w:r w:rsidRPr="0008325D">
              <w:rPr>
                <w:rFonts w:ascii="標楷體" w:eastAsia="標楷體" w:hAnsi="標楷體" w:cs="Times New Roman" w:hint="eastAsia"/>
                <w:color w:val="000000" w:themeColor="text1"/>
                <w:szCs w:val="24"/>
              </w:rPr>
              <w:t xml:space="preserve">第四條之十五　</w:t>
            </w:r>
            <w:r w:rsidRPr="0008325D">
              <w:rPr>
                <w:rFonts w:ascii="標楷體" w:eastAsia="標楷體" w:hAnsi="標楷體" w:cs="Times New Roman"/>
                <w:color w:val="000000" w:themeColor="text1"/>
                <w:szCs w:val="24"/>
              </w:rPr>
              <w:t>承銷商輔導外國發行人</w:t>
            </w:r>
            <w:r w:rsidRPr="0008325D">
              <w:rPr>
                <w:rFonts w:ascii="標楷體" w:eastAsia="標楷體" w:hAnsi="標楷體" w:cs="Times New Roman" w:hint="eastAsia"/>
                <w:color w:val="000000" w:themeColor="text1"/>
                <w:szCs w:val="24"/>
              </w:rPr>
              <w:t>辦理申報「外國發行人募集與發行有價證券處理準則」第六條第一項第一款至第三款募資案件時，應於募集完成年度及其後</w:t>
            </w:r>
            <w:r w:rsidR="00C3011C" w:rsidRPr="0008325D">
              <w:rPr>
                <w:rFonts w:ascii="標楷體" w:eastAsia="標楷體" w:hAnsi="標楷體" w:cs="Times New Roman" w:hint="eastAsia"/>
                <w:color w:val="000000" w:themeColor="text1"/>
                <w:szCs w:val="24"/>
                <w:u w:val="single"/>
              </w:rPr>
              <w:t>三</w:t>
            </w:r>
            <w:r w:rsidRPr="0008325D">
              <w:rPr>
                <w:rFonts w:ascii="標楷體" w:eastAsia="標楷體" w:hAnsi="標楷體" w:cs="Times New Roman" w:hint="eastAsia"/>
                <w:color w:val="000000" w:themeColor="text1"/>
                <w:szCs w:val="24"/>
              </w:rPr>
              <w:t>個會計年度，協助其遵循中華民國證券相關法令。</w:t>
            </w:r>
          </w:p>
          <w:p w14:paraId="005151B6" w14:textId="1A4A9C1D" w:rsidR="000B66F6" w:rsidRPr="0008325D" w:rsidRDefault="000B66F6" w:rsidP="00FE1552">
            <w:pPr>
              <w:spacing w:line="360" w:lineRule="exact"/>
              <w:ind w:leftChars="100" w:left="240" w:firstLineChars="200" w:firstLine="480"/>
              <w:jc w:val="both"/>
              <w:rPr>
                <w:rFonts w:ascii="標楷體" w:eastAsia="標楷體" w:hAnsi="標楷體" w:cs="Times New Roman"/>
                <w:color w:val="000000" w:themeColor="text1"/>
                <w:szCs w:val="24"/>
              </w:rPr>
            </w:pPr>
            <w:r w:rsidRPr="0008325D">
              <w:rPr>
                <w:rFonts w:ascii="標楷體" w:eastAsia="標楷體" w:hAnsi="標楷體" w:cs="Times New Roman" w:hint="eastAsia"/>
                <w:color w:val="000000" w:themeColor="text1"/>
                <w:szCs w:val="24"/>
              </w:rPr>
              <w:t>承銷商輔導有重要子公司位於中國大陸之外國發行人辦理申報募資案，應輔導</w:t>
            </w:r>
            <w:r w:rsidRPr="0008325D">
              <w:rPr>
                <w:rFonts w:ascii="標楷體" w:eastAsia="標楷體" w:hAnsi="標楷體" w:cs="Times New Roman"/>
                <w:color w:val="000000" w:themeColor="text1"/>
                <w:szCs w:val="24"/>
              </w:rPr>
              <w:t>外國發行人</w:t>
            </w:r>
            <w:r w:rsidRPr="0008325D">
              <w:rPr>
                <w:rFonts w:ascii="標楷體" w:eastAsia="標楷體" w:hAnsi="標楷體" w:cs="Times New Roman" w:hint="eastAsia"/>
                <w:color w:val="000000" w:themeColor="text1"/>
                <w:szCs w:val="24"/>
              </w:rPr>
              <w:t>於申報案件時出具承諾書，承諾應將在臺所募資金存放於</w:t>
            </w:r>
            <w:r w:rsidR="00147191" w:rsidRPr="0008325D">
              <w:rPr>
                <w:rFonts w:ascii="標楷體" w:eastAsia="標楷體" w:hAnsi="標楷體" w:cs="Times New Roman" w:hint="eastAsia"/>
                <w:color w:val="000000" w:themeColor="text1"/>
                <w:szCs w:val="24"/>
              </w:rPr>
              <w:t>臺</w:t>
            </w:r>
            <w:r w:rsidRPr="0008325D">
              <w:rPr>
                <w:rFonts w:ascii="標楷體" w:eastAsia="標楷體" w:hAnsi="標楷體" w:cs="Times New Roman" w:hint="eastAsia"/>
                <w:color w:val="000000" w:themeColor="text1"/>
                <w:szCs w:val="24"/>
              </w:rPr>
              <w:t>資銀行或其海外子(分)行並依計劃支用。 承銷商並應將前揭資金控管情形納入每季之募資計畫執行情形併予評估。</w:t>
            </w:r>
          </w:p>
          <w:p w14:paraId="7232065E" w14:textId="3DC30493" w:rsidR="000B66F6" w:rsidRPr="0008325D" w:rsidRDefault="000B66F6" w:rsidP="00FE1552">
            <w:pPr>
              <w:spacing w:line="360" w:lineRule="exact"/>
              <w:ind w:leftChars="100" w:left="240" w:firstLineChars="200" w:firstLine="480"/>
              <w:jc w:val="both"/>
              <w:rPr>
                <w:rFonts w:ascii="標楷體" w:eastAsia="標楷體" w:hAnsi="標楷體" w:cs="Times New Roman"/>
                <w:color w:val="000000" w:themeColor="text1"/>
                <w:szCs w:val="24"/>
              </w:rPr>
            </w:pPr>
            <w:r w:rsidRPr="0008325D">
              <w:rPr>
                <w:rFonts w:ascii="標楷體" w:eastAsia="標楷體" w:hAnsi="標楷體" w:cs="Times New Roman" w:hint="eastAsia"/>
                <w:color w:val="000000" w:themeColor="text1"/>
                <w:szCs w:val="24"/>
              </w:rPr>
              <w:t>承銷商依前項輔導外國發行人申報在臺募集與發行公司債案件，擔保銀行及受託銀行限於在我國設有營業據點之銀行。</w:t>
            </w:r>
          </w:p>
        </w:tc>
        <w:tc>
          <w:tcPr>
            <w:tcW w:w="2906" w:type="dxa"/>
            <w:vAlign w:val="center"/>
          </w:tcPr>
          <w:p w14:paraId="0E2208E1" w14:textId="248E1F99" w:rsidR="000B66F6" w:rsidRPr="0008325D" w:rsidRDefault="000B66F6" w:rsidP="00FE1552">
            <w:pPr>
              <w:spacing w:line="360" w:lineRule="exact"/>
              <w:ind w:left="245" w:hangingChars="102" w:hanging="245"/>
              <w:jc w:val="both"/>
              <w:rPr>
                <w:rFonts w:ascii="標楷體" w:eastAsia="標楷體" w:hAnsi="標楷體" w:cs="Times New Roman"/>
                <w:color w:val="000000" w:themeColor="text1"/>
                <w:szCs w:val="24"/>
              </w:rPr>
            </w:pPr>
            <w:r w:rsidRPr="0008325D">
              <w:rPr>
                <w:rFonts w:ascii="標楷體" w:eastAsia="標楷體" w:hAnsi="標楷體" w:cs="Times New Roman" w:hint="eastAsia"/>
                <w:color w:val="000000" w:themeColor="text1"/>
                <w:szCs w:val="24"/>
              </w:rPr>
              <w:t xml:space="preserve">第四條之十五　</w:t>
            </w:r>
            <w:r w:rsidRPr="0008325D">
              <w:rPr>
                <w:rFonts w:ascii="標楷體" w:eastAsia="標楷體" w:hAnsi="標楷體" w:cs="Times New Roman"/>
                <w:color w:val="000000" w:themeColor="text1"/>
                <w:szCs w:val="24"/>
              </w:rPr>
              <w:t>承銷商輔導外國發行人</w:t>
            </w:r>
            <w:r w:rsidRPr="0008325D">
              <w:rPr>
                <w:rFonts w:ascii="標楷體" w:eastAsia="標楷體" w:hAnsi="標楷體" w:cs="Times New Roman" w:hint="eastAsia"/>
                <w:color w:val="000000" w:themeColor="text1"/>
                <w:szCs w:val="24"/>
              </w:rPr>
              <w:t>辦理申報「外國發行人募集與發行有價證券處理準則」第六條第一項第一款至第三款募資案件時，應於募集完成年度及其後</w:t>
            </w:r>
            <w:r w:rsidR="00C3011C" w:rsidRPr="0008325D">
              <w:rPr>
                <w:rFonts w:ascii="標楷體" w:eastAsia="標楷體" w:hAnsi="標楷體" w:cs="Times New Roman" w:hint="eastAsia"/>
                <w:color w:val="000000" w:themeColor="text1"/>
                <w:szCs w:val="24"/>
                <w:u w:val="single"/>
              </w:rPr>
              <w:t>二</w:t>
            </w:r>
            <w:r w:rsidRPr="0008325D">
              <w:rPr>
                <w:rFonts w:ascii="標楷體" w:eastAsia="標楷體" w:hAnsi="標楷體" w:cs="Times New Roman" w:hint="eastAsia"/>
                <w:color w:val="000000" w:themeColor="text1"/>
                <w:szCs w:val="24"/>
              </w:rPr>
              <w:t>個會計年度，協助其遵循中華民國證券相關法令。</w:t>
            </w:r>
          </w:p>
          <w:p w14:paraId="4ABB4F9E" w14:textId="26894029" w:rsidR="000B66F6" w:rsidRPr="0008325D" w:rsidRDefault="000B66F6" w:rsidP="00FE1552">
            <w:pPr>
              <w:spacing w:line="360" w:lineRule="exact"/>
              <w:ind w:leftChars="100" w:left="240" w:firstLineChars="200" w:firstLine="480"/>
              <w:jc w:val="both"/>
              <w:rPr>
                <w:rFonts w:ascii="標楷體" w:eastAsia="標楷體" w:hAnsi="標楷體" w:cs="Times New Roman"/>
                <w:color w:val="000000" w:themeColor="text1"/>
                <w:szCs w:val="24"/>
              </w:rPr>
            </w:pPr>
            <w:r w:rsidRPr="0008325D">
              <w:rPr>
                <w:rFonts w:ascii="標楷體" w:eastAsia="標楷體" w:hAnsi="標楷體" w:cs="Times New Roman" w:hint="eastAsia"/>
                <w:color w:val="000000" w:themeColor="text1"/>
                <w:szCs w:val="24"/>
              </w:rPr>
              <w:t>承銷商輔導有重要子公司位於中國大陸之外國發行人辦理申報募資案，應輔導</w:t>
            </w:r>
            <w:r w:rsidRPr="0008325D">
              <w:rPr>
                <w:rFonts w:ascii="標楷體" w:eastAsia="標楷體" w:hAnsi="標楷體" w:cs="Times New Roman"/>
                <w:color w:val="000000" w:themeColor="text1"/>
                <w:szCs w:val="24"/>
              </w:rPr>
              <w:t>外國發行人</w:t>
            </w:r>
            <w:r w:rsidRPr="0008325D">
              <w:rPr>
                <w:rFonts w:ascii="標楷體" w:eastAsia="標楷體" w:hAnsi="標楷體" w:cs="Times New Roman" w:hint="eastAsia"/>
                <w:color w:val="000000" w:themeColor="text1"/>
                <w:szCs w:val="24"/>
              </w:rPr>
              <w:t>於申報案件時出具承諾書，承諾應將在臺所募資金存放於</w:t>
            </w:r>
            <w:r w:rsidR="00147191" w:rsidRPr="0008325D">
              <w:rPr>
                <w:rFonts w:ascii="標楷體" w:eastAsia="標楷體" w:hAnsi="標楷體" w:cs="Times New Roman" w:hint="eastAsia"/>
                <w:color w:val="000000" w:themeColor="text1"/>
                <w:szCs w:val="24"/>
              </w:rPr>
              <w:t>臺</w:t>
            </w:r>
            <w:r w:rsidRPr="0008325D">
              <w:rPr>
                <w:rFonts w:ascii="標楷體" w:eastAsia="標楷體" w:hAnsi="標楷體" w:cs="Times New Roman" w:hint="eastAsia"/>
                <w:color w:val="000000" w:themeColor="text1"/>
                <w:szCs w:val="24"/>
              </w:rPr>
              <w:t>資銀行或其海外子(分)行並依計劃支用。 承銷商並應將前揭資金控管情形納入每季之募資計畫執行情形併予評估。</w:t>
            </w:r>
          </w:p>
          <w:p w14:paraId="042B49C0" w14:textId="0EEA3CDD" w:rsidR="000B66F6" w:rsidRPr="0008325D" w:rsidRDefault="000B66F6" w:rsidP="00FE1552">
            <w:pPr>
              <w:spacing w:line="360" w:lineRule="exact"/>
              <w:ind w:leftChars="100" w:left="240" w:firstLineChars="200" w:firstLine="480"/>
              <w:jc w:val="both"/>
              <w:rPr>
                <w:rFonts w:ascii="標楷體" w:eastAsia="標楷體" w:hAnsi="標楷體" w:cs="Times New Roman"/>
                <w:color w:val="000000" w:themeColor="text1"/>
                <w:szCs w:val="24"/>
              </w:rPr>
            </w:pPr>
            <w:r w:rsidRPr="0008325D">
              <w:rPr>
                <w:rFonts w:ascii="標楷體" w:eastAsia="標楷體" w:hAnsi="標楷體" w:cs="Times New Roman" w:hint="eastAsia"/>
                <w:color w:val="000000" w:themeColor="text1"/>
                <w:szCs w:val="24"/>
              </w:rPr>
              <w:t>承銷商依前項輔導外國發行人申報在臺募集與發行公司債案件，擔保銀行及受託銀行限於在我國設有營業據點之銀行。</w:t>
            </w:r>
          </w:p>
        </w:tc>
        <w:tc>
          <w:tcPr>
            <w:tcW w:w="2907" w:type="dxa"/>
          </w:tcPr>
          <w:p w14:paraId="0BB8F922" w14:textId="45DE4BAC" w:rsidR="000B66F6" w:rsidRPr="0008325D" w:rsidRDefault="007D6700" w:rsidP="00FE1552">
            <w:pPr>
              <w:spacing w:line="360" w:lineRule="exact"/>
              <w:jc w:val="both"/>
              <w:rPr>
                <w:rFonts w:ascii="標楷體" w:eastAsia="標楷體" w:hAnsi="標楷體" w:cs="Times New Roman"/>
                <w:color w:val="000000" w:themeColor="text1"/>
                <w:szCs w:val="24"/>
              </w:rPr>
            </w:pPr>
            <w:r w:rsidRPr="0008325D">
              <w:rPr>
                <w:rFonts w:ascii="標楷體" w:eastAsia="標楷體" w:hAnsi="標楷體" w:cs="Times New Roman" w:hint="eastAsia"/>
                <w:color w:val="000000" w:themeColor="text1"/>
                <w:szCs w:val="24"/>
              </w:rPr>
              <w:t>配合主管機關修正「外國發行人募集與發行有價證券處理準則」第六條</w:t>
            </w:r>
            <w:r w:rsidR="003645A0" w:rsidRPr="0008325D">
              <w:rPr>
                <w:rFonts w:ascii="標楷體" w:eastAsia="標楷體" w:hAnsi="標楷體" w:cs="Times New Roman" w:hint="eastAsia"/>
                <w:color w:val="000000" w:themeColor="text1"/>
                <w:szCs w:val="24"/>
              </w:rPr>
              <w:t>第二項</w:t>
            </w:r>
            <w:r w:rsidRPr="0008325D">
              <w:rPr>
                <w:rFonts w:ascii="標楷體" w:eastAsia="標楷體" w:hAnsi="標楷體" w:cs="Times New Roman" w:hint="eastAsia"/>
                <w:color w:val="000000" w:themeColor="text1"/>
                <w:szCs w:val="24"/>
              </w:rPr>
              <w:t>，</w:t>
            </w:r>
            <w:r w:rsidR="003645A0" w:rsidRPr="0008325D">
              <w:rPr>
                <w:rFonts w:ascii="標楷體" w:eastAsia="標楷體" w:hAnsi="標楷體" w:cs="Times New Roman" w:hint="eastAsia"/>
                <w:color w:val="000000" w:themeColor="text1"/>
                <w:szCs w:val="24"/>
              </w:rPr>
              <w:t>明訂</w:t>
            </w:r>
            <w:r w:rsidRPr="0008325D">
              <w:rPr>
                <w:rFonts w:ascii="標楷體" w:eastAsia="標楷體" w:hAnsi="標楷體" w:cs="Times New Roman" w:hint="eastAsia"/>
                <w:color w:val="000000" w:themeColor="text1"/>
                <w:szCs w:val="24"/>
              </w:rPr>
              <w:t>證券承銷商</w:t>
            </w:r>
            <w:r w:rsidR="003645A0" w:rsidRPr="0008325D">
              <w:rPr>
                <w:rFonts w:ascii="標楷體" w:eastAsia="標楷體" w:hAnsi="標楷體" w:cs="Times New Roman" w:hint="eastAsia"/>
                <w:color w:val="000000" w:themeColor="text1"/>
                <w:szCs w:val="24"/>
              </w:rPr>
              <w:t>對</w:t>
            </w:r>
            <w:r w:rsidRPr="0008325D">
              <w:rPr>
                <w:rFonts w:ascii="標楷體" w:eastAsia="標楷體" w:hAnsi="標楷體" w:cs="Times New Roman" w:hint="eastAsia"/>
                <w:color w:val="000000" w:themeColor="text1"/>
                <w:szCs w:val="24"/>
              </w:rPr>
              <w:t>第一上市(櫃)公司募資案件之保薦期間，由現行募集完成年度及其後二個會計年度延長至三個會計年度</w:t>
            </w:r>
            <w:r w:rsidR="003645A0" w:rsidRPr="0008325D">
              <w:rPr>
                <w:rFonts w:ascii="標楷體" w:eastAsia="標楷體" w:hAnsi="標楷體" w:cs="Times New Roman" w:hint="eastAsia"/>
                <w:color w:val="000000" w:themeColor="text1"/>
                <w:szCs w:val="24"/>
              </w:rPr>
              <w:t>，爰修正第一項。</w:t>
            </w:r>
          </w:p>
        </w:tc>
      </w:tr>
    </w:tbl>
    <w:p w14:paraId="5A979922" w14:textId="77777777" w:rsidR="002C2A55" w:rsidRPr="00C35E53" w:rsidRDefault="002C2A55"/>
    <w:sectPr w:rsidR="002C2A55" w:rsidRPr="00C35E53" w:rsidSect="00FE1552">
      <w:footerReference w:type="default" r:id="rId6"/>
      <w:pgSz w:w="11906" w:h="16838"/>
      <w:pgMar w:top="1440" w:right="1841" w:bottom="1440" w:left="1985"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4C7D" w14:textId="77777777" w:rsidR="00347E83" w:rsidRDefault="00347E83" w:rsidP="00630C26">
      <w:r>
        <w:separator/>
      </w:r>
    </w:p>
  </w:endnote>
  <w:endnote w:type="continuationSeparator" w:id="0">
    <w:p w14:paraId="56BEE625" w14:textId="77777777" w:rsidR="00347E83" w:rsidRDefault="00347E83" w:rsidP="0063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937584"/>
      <w:docPartObj>
        <w:docPartGallery w:val="Page Numbers (Bottom of Page)"/>
        <w:docPartUnique/>
      </w:docPartObj>
    </w:sdtPr>
    <w:sdtEndPr>
      <w:rPr>
        <w:sz w:val="24"/>
        <w:szCs w:val="24"/>
      </w:rPr>
    </w:sdtEndPr>
    <w:sdtContent>
      <w:p w14:paraId="5F0C6F83" w14:textId="68385FC0" w:rsidR="00552D65" w:rsidRPr="001A0773" w:rsidRDefault="00552D65">
        <w:pPr>
          <w:pStyle w:val="aa"/>
          <w:jc w:val="center"/>
          <w:rPr>
            <w:sz w:val="24"/>
            <w:szCs w:val="24"/>
          </w:rPr>
        </w:pPr>
        <w:r w:rsidRPr="001A0773">
          <w:rPr>
            <w:sz w:val="24"/>
            <w:szCs w:val="24"/>
          </w:rPr>
          <w:fldChar w:fldCharType="begin"/>
        </w:r>
        <w:r w:rsidRPr="001A0773">
          <w:rPr>
            <w:sz w:val="24"/>
            <w:szCs w:val="24"/>
          </w:rPr>
          <w:instrText>PAGE   \* MERGEFORMAT</w:instrText>
        </w:r>
        <w:r w:rsidRPr="001A0773">
          <w:rPr>
            <w:sz w:val="24"/>
            <w:szCs w:val="24"/>
          </w:rPr>
          <w:fldChar w:fldCharType="separate"/>
        </w:r>
        <w:r w:rsidRPr="001A0773">
          <w:rPr>
            <w:sz w:val="24"/>
            <w:szCs w:val="24"/>
            <w:lang w:val="zh-TW"/>
          </w:rPr>
          <w:t>2</w:t>
        </w:r>
        <w:r w:rsidRPr="001A0773">
          <w:rPr>
            <w:sz w:val="24"/>
            <w:szCs w:val="24"/>
          </w:rPr>
          <w:fldChar w:fldCharType="end"/>
        </w:r>
      </w:p>
    </w:sdtContent>
  </w:sdt>
  <w:p w14:paraId="30724A04" w14:textId="77777777" w:rsidR="00552D65" w:rsidRDefault="00552D6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FAD9" w14:textId="77777777" w:rsidR="00347E83" w:rsidRDefault="00347E83" w:rsidP="00630C26">
      <w:r>
        <w:separator/>
      </w:r>
    </w:p>
  </w:footnote>
  <w:footnote w:type="continuationSeparator" w:id="0">
    <w:p w14:paraId="57675E24" w14:textId="77777777" w:rsidR="00347E83" w:rsidRDefault="00347E83" w:rsidP="00630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53"/>
    <w:rsid w:val="0008325D"/>
    <w:rsid w:val="000960B5"/>
    <w:rsid w:val="000B66F6"/>
    <w:rsid w:val="000B6C6B"/>
    <w:rsid w:val="00147191"/>
    <w:rsid w:val="0018534B"/>
    <w:rsid w:val="001A0773"/>
    <w:rsid w:val="002C2A55"/>
    <w:rsid w:val="00347E83"/>
    <w:rsid w:val="003645A0"/>
    <w:rsid w:val="003E188B"/>
    <w:rsid w:val="00403FA6"/>
    <w:rsid w:val="00442FEB"/>
    <w:rsid w:val="004D686C"/>
    <w:rsid w:val="00552D65"/>
    <w:rsid w:val="00624522"/>
    <w:rsid w:val="00630C26"/>
    <w:rsid w:val="0065047D"/>
    <w:rsid w:val="00703C0A"/>
    <w:rsid w:val="00716735"/>
    <w:rsid w:val="00764532"/>
    <w:rsid w:val="00782CBC"/>
    <w:rsid w:val="0079588D"/>
    <w:rsid w:val="007D6700"/>
    <w:rsid w:val="007F2502"/>
    <w:rsid w:val="00836557"/>
    <w:rsid w:val="009C4A4E"/>
    <w:rsid w:val="00A738CF"/>
    <w:rsid w:val="00A76167"/>
    <w:rsid w:val="00B72098"/>
    <w:rsid w:val="00B72DBF"/>
    <w:rsid w:val="00BD519F"/>
    <w:rsid w:val="00BE5ED2"/>
    <w:rsid w:val="00C3011C"/>
    <w:rsid w:val="00C35E53"/>
    <w:rsid w:val="00C84E28"/>
    <w:rsid w:val="00CD5C48"/>
    <w:rsid w:val="00CF08C0"/>
    <w:rsid w:val="00D029E7"/>
    <w:rsid w:val="00D34A6B"/>
    <w:rsid w:val="00E237DF"/>
    <w:rsid w:val="00E564BC"/>
    <w:rsid w:val="00E56CE7"/>
    <w:rsid w:val="00E60CA9"/>
    <w:rsid w:val="00E829FD"/>
    <w:rsid w:val="00FE1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17F31"/>
  <w15:chartTrackingRefBased/>
  <w15:docId w15:val="{4EF27C39-A597-4453-AA2B-70A696E0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E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C35E53"/>
    <w:rPr>
      <w:rFonts w:ascii="細明體" w:eastAsia="細明體" w:hAnsi="Courier New" w:cs="Times New Roman"/>
      <w:szCs w:val="20"/>
    </w:rPr>
  </w:style>
  <w:style w:type="character" w:customStyle="1" w:styleId="a5">
    <w:name w:val="純文字 字元"/>
    <w:basedOn w:val="a0"/>
    <w:link w:val="a4"/>
    <w:rsid w:val="00C35E53"/>
    <w:rPr>
      <w:rFonts w:ascii="細明體" w:eastAsia="細明體" w:hAnsi="Courier New" w:cs="Times New Roman"/>
      <w:szCs w:val="20"/>
    </w:rPr>
  </w:style>
  <w:style w:type="paragraph" w:styleId="HTML">
    <w:name w:val="HTML Preformatted"/>
    <w:basedOn w:val="a"/>
    <w:link w:val="HTML0"/>
    <w:uiPriority w:val="99"/>
    <w:unhideWhenUsed/>
    <w:rsid w:val="00BE5E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E5ED2"/>
    <w:rPr>
      <w:rFonts w:ascii="細明體" w:eastAsia="細明體" w:hAnsi="細明體" w:cs="細明體"/>
      <w:kern w:val="0"/>
      <w:szCs w:val="24"/>
    </w:rPr>
  </w:style>
  <w:style w:type="paragraph" w:styleId="a6">
    <w:name w:val="Body Text Indent"/>
    <w:basedOn w:val="a"/>
    <w:link w:val="a7"/>
    <w:rsid w:val="00703C0A"/>
    <w:pPr>
      <w:spacing w:before="60" w:after="60" w:line="340" w:lineRule="exact"/>
      <w:ind w:left="822" w:hanging="482"/>
    </w:pPr>
    <w:rPr>
      <w:rFonts w:ascii="Times New Roman" w:eastAsia="標楷體" w:hAnsi="Times New Roman" w:cs="Times New Roman"/>
      <w:color w:val="000000"/>
      <w:szCs w:val="20"/>
    </w:rPr>
  </w:style>
  <w:style w:type="character" w:customStyle="1" w:styleId="a7">
    <w:name w:val="本文縮排 字元"/>
    <w:basedOn w:val="a0"/>
    <w:link w:val="a6"/>
    <w:rsid w:val="00703C0A"/>
    <w:rPr>
      <w:rFonts w:ascii="Times New Roman" w:eastAsia="標楷體" w:hAnsi="Times New Roman" w:cs="Times New Roman"/>
      <w:color w:val="000000"/>
      <w:szCs w:val="20"/>
    </w:rPr>
  </w:style>
  <w:style w:type="paragraph" w:styleId="a8">
    <w:name w:val="header"/>
    <w:basedOn w:val="a"/>
    <w:link w:val="a9"/>
    <w:uiPriority w:val="99"/>
    <w:unhideWhenUsed/>
    <w:rsid w:val="00630C26"/>
    <w:pPr>
      <w:tabs>
        <w:tab w:val="center" w:pos="4153"/>
        <w:tab w:val="right" w:pos="8306"/>
      </w:tabs>
      <w:snapToGrid w:val="0"/>
    </w:pPr>
    <w:rPr>
      <w:sz w:val="20"/>
      <w:szCs w:val="20"/>
    </w:rPr>
  </w:style>
  <w:style w:type="character" w:customStyle="1" w:styleId="a9">
    <w:name w:val="頁首 字元"/>
    <w:basedOn w:val="a0"/>
    <w:link w:val="a8"/>
    <w:uiPriority w:val="99"/>
    <w:rsid w:val="00630C26"/>
    <w:rPr>
      <w:sz w:val="20"/>
      <w:szCs w:val="20"/>
    </w:rPr>
  </w:style>
  <w:style w:type="paragraph" w:styleId="aa">
    <w:name w:val="footer"/>
    <w:basedOn w:val="a"/>
    <w:link w:val="ab"/>
    <w:uiPriority w:val="99"/>
    <w:unhideWhenUsed/>
    <w:rsid w:val="00630C26"/>
    <w:pPr>
      <w:tabs>
        <w:tab w:val="center" w:pos="4153"/>
        <w:tab w:val="right" w:pos="8306"/>
      </w:tabs>
      <w:snapToGrid w:val="0"/>
    </w:pPr>
    <w:rPr>
      <w:sz w:val="20"/>
      <w:szCs w:val="20"/>
    </w:rPr>
  </w:style>
  <w:style w:type="character" w:customStyle="1" w:styleId="ab">
    <w:name w:val="頁尾 字元"/>
    <w:basedOn w:val="a0"/>
    <w:link w:val="aa"/>
    <w:uiPriority w:val="99"/>
    <w:rsid w:val="00630C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0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鍾韻琳</dc:creator>
  <cp:keywords/>
  <dc:description/>
  <cp:lastModifiedBy>鍾韻琳</cp:lastModifiedBy>
  <cp:revision>2</cp:revision>
  <dcterms:created xsi:type="dcterms:W3CDTF">2022-10-13T05:31:00Z</dcterms:created>
  <dcterms:modified xsi:type="dcterms:W3CDTF">2022-10-13T05:31:00Z</dcterms:modified>
</cp:coreProperties>
</file>